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Ind w:w="93" w:type="dxa"/>
        <w:tblLook w:val="04A0" w:firstRow="1" w:lastRow="0" w:firstColumn="1" w:lastColumn="0" w:noHBand="0" w:noVBand="1"/>
      </w:tblPr>
      <w:tblGrid>
        <w:gridCol w:w="14967"/>
      </w:tblGrid>
      <w:tr w:rsidR="00893592" w:rsidRPr="00AD04C6" w:rsidTr="00893592">
        <w:trPr>
          <w:trHeight w:val="375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bookmarkStart w:id="0" w:name="_GoBack"/>
            <w:r w:rsidRPr="00AD04C6">
              <w:rPr>
                <w:rFonts w:ascii="Liberation Serif" w:hAnsi="Liberation Serif"/>
                <w:b/>
                <w:bCs/>
                <w:sz w:val="28"/>
                <w:szCs w:val="28"/>
              </w:rPr>
              <w:t>ОТЧЕТ</w:t>
            </w:r>
          </w:p>
        </w:tc>
      </w:tr>
      <w:tr w:rsidR="00893592" w:rsidRPr="00AD04C6" w:rsidTr="00893592">
        <w:trPr>
          <w:trHeight w:val="375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D04C6">
              <w:rPr>
                <w:rFonts w:ascii="Liberation Serif" w:hAnsi="Liberation Serif"/>
                <w:b/>
                <w:bCs/>
                <w:sz w:val="28"/>
                <w:szCs w:val="28"/>
              </w:rPr>
              <w:t>о реализации муниципальной программы</w:t>
            </w:r>
          </w:p>
        </w:tc>
      </w:tr>
      <w:tr w:rsidR="00893592" w:rsidRPr="00AD04C6" w:rsidTr="00893592">
        <w:trPr>
          <w:trHeight w:val="81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D04C6">
              <w:rPr>
                <w:rFonts w:ascii="Liberation Serif" w:hAnsi="Liberation Serif"/>
                <w:sz w:val="28"/>
                <w:szCs w:val="28"/>
              </w:rPr>
              <w:t>«Развитие системы образования в Пышминском муниципальном округе до 2028 года»</w:t>
            </w:r>
          </w:p>
        </w:tc>
      </w:tr>
      <w:tr w:rsidR="00893592" w:rsidRPr="00AD04C6" w:rsidTr="00893592">
        <w:trPr>
          <w:trHeight w:val="615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8"/>
                <w:szCs w:val="28"/>
              </w:rPr>
            </w:pPr>
            <w:r w:rsidRPr="00AD04C6">
              <w:rPr>
                <w:rFonts w:ascii="Liberation Serif" w:hAnsi="Liberation Serif"/>
                <w:sz w:val="28"/>
                <w:szCs w:val="28"/>
              </w:rPr>
              <w:t>Форма 1</w:t>
            </w:r>
          </w:p>
        </w:tc>
      </w:tr>
      <w:tr w:rsidR="00893592" w:rsidRPr="00AD04C6" w:rsidTr="00893592">
        <w:trPr>
          <w:trHeight w:val="510"/>
        </w:trPr>
        <w:tc>
          <w:tcPr>
            <w:tcW w:w="1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3592" w:rsidRPr="00AD04C6" w:rsidRDefault="00893592" w:rsidP="00893592">
            <w:pPr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  <w:r w:rsidRPr="00AD04C6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Достижение целевых показателей муниципальной программы за 2025  г. </w:t>
            </w:r>
          </w:p>
        </w:tc>
      </w:tr>
    </w:tbl>
    <w:p w:rsidR="00280BE3" w:rsidRPr="00AD04C6" w:rsidRDefault="00280BE3" w:rsidP="00893592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"/>
        <w:gridCol w:w="1020"/>
        <w:gridCol w:w="3882"/>
        <w:gridCol w:w="1401"/>
        <w:gridCol w:w="2121"/>
        <w:gridCol w:w="2161"/>
        <w:gridCol w:w="1661"/>
        <w:gridCol w:w="1821"/>
      </w:tblGrid>
      <w:tr w:rsidR="00893592" w:rsidRPr="00AD04C6" w:rsidTr="00893592">
        <w:tc>
          <w:tcPr>
            <w:tcW w:w="900" w:type="dxa"/>
            <w:vMerge w:val="restart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№ цели, задачи и </w:t>
            </w:r>
            <w:proofErr w:type="gramStart"/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целевого</w:t>
            </w:r>
            <w:proofErr w:type="gramEnd"/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 показа-теля</w:t>
            </w:r>
          </w:p>
        </w:tc>
        <w:tc>
          <w:tcPr>
            <w:tcW w:w="3882" w:type="dxa"/>
            <w:vMerge w:val="restart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Цели, задачи и целевые показатели</w:t>
            </w:r>
          </w:p>
        </w:tc>
        <w:tc>
          <w:tcPr>
            <w:tcW w:w="1401" w:type="dxa"/>
            <w:vMerge w:val="restart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282" w:type="dxa"/>
            <w:gridSpan w:val="2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1661" w:type="dxa"/>
            <w:vMerge w:val="restart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Процент выполнения</w:t>
            </w:r>
          </w:p>
        </w:tc>
        <w:tc>
          <w:tcPr>
            <w:tcW w:w="1821" w:type="dxa"/>
            <w:vMerge w:val="restart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Причины отклонения от планового значения</w:t>
            </w:r>
          </w:p>
        </w:tc>
      </w:tr>
      <w:tr w:rsidR="00893592" w:rsidRPr="00AD04C6" w:rsidTr="00893592">
        <w:tc>
          <w:tcPr>
            <w:tcW w:w="900" w:type="dxa"/>
            <w:vMerge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3882" w:type="dxa"/>
            <w:vMerge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1661" w:type="dxa"/>
            <w:vMerge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821" w:type="dxa"/>
            <w:vMerge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893592" w:rsidRPr="00AD04C6" w:rsidRDefault="00893592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"/>
        <w:gridCol w:w="1020"/>
        <w:gridCol w:w="3882"/>
        <w:gridCol w:w="1401"/>
        <w:gridCol w:w="2121"/>
        <w:gridCol w:w="2161"/>
        <w:gridCol w:w="1661"/>
        <w:gridCol w:w="1821"/>
      </w:tblGrid>
      <w:tr w:rsidR="00893592" w:rsidRPr="00AD04C6" w:rsidTr="00893592">
        <w:trPr>
          <w:tblHeader/>
        </w:trPr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1. Развитие системы дошкольного образования в Пышминском муниципальном округе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1. Достижение к 2021 году 100% доступности дошкольного образования для детей в возрасте от 2 месяцев до 3 лет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1.1. Обеспечение государственных гарантий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1.1.1.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AD04C6">
              <w:rPr>
                <w:rFonts w:ascii="Liberation Serif" w:hAnsi="Liberation Serif"/>
                <w:sz w:val="20"/>
                <w:szCs w:val="20"/>
              </w:rPr>
              <w:t>Обеспеченность доступности дошкольного образования для детей в возрасте до 3 лет (отношение численности детей в возрасте от 2 месяцев              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</w:t>
            </w:r>
            <w:proofErr w:type="gramEnd"/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 на получение в текущем году дошкольного образования)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1.1.2.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Отношение среднемесячной заработной платы педагогических работников, реализующих программы дошкольного образования, - 100% к средней заработной плате работников сферы общего образования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99,97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1.2. Обеспечение педагогическими кадрами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1.2.3.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Доля педагогических кадров в дошкольных </w:t>
            </w: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учреждениях прошедших обучение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1.3. Обеспечение воспитания и обучения детей-инвалидов дошкольного возраста, проживающих в Пышминском муниципальном округе, на дому, в дошкольных образовательных организациях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1.3.4.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Охват детей-инвалидов дошкольного возраста, проживающих в Пышминском муниципальном округе, обучением на дому, в дошкольных образовательных организациях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2.  Развитие системы общего образования в Пышминском муниципальном округе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2. Обеспечение доступности качественного общего образования, соответствующего требованиям инновационного социально-экономического развития Пышминского муниципального округа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2.4. Обеспечение детей современными условиями при реализации государственного стандарта общего образования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2.4.5.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Охват детей школьного возраста в муниципальных общеобразовательных учреждениях Пышминского муниципального округа образовательными услугами в рамках Государственного образовательного стандарта и Федерального государственного образовательного стандарта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2.4.6.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Количество муниципальных образовательных организаций, реализующих инновационные образовательные программы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организации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2.4.49.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Приобретение и установка недостающего оборудования в производственных помещениях столовых общеобразовательных организаций, необходимого для создания в общеобразовательных организациях условий для организации горячего питания обучающихся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Организаций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166,7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2.5. Предоставление детям с ограниченными возможностями здоровья специального (коррекционного) образования в образовательных организациях для обучающихся, воспитанников с ограниченными возможностями здоровья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2.5.7.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Охват детей школьного возраста с ограниченными возможностями здоровья образовательными услугами коррекционного образования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2.6. Осуществление мероприятий по организации питания в муниципальных общеобразовательных организациях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19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2.6.8.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Охват организованным горячим питанием учащихся общеобразовательных организаций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94,2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100,4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2.6.38.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AD04C6">
              <w:rPr>
                <w:rFonts w:ascii="Liberation Serif" w:hAnsi="Liberation Serif"/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2.6.47.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получающих льготных категорий, указанных в статье 22 Закона Свердловской области от 15 июля 2013 года №78-ОЗ "Об образовании в Свердловской области", обеспеченных организованным горячим питанием, от общего количества обучающихся льготных категорий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2.7.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Пышминского муниципального округа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2.7.9.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выпускников муниципальных общеобразовательных учреждений, не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1,5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27,3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2.7.10.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Средний тестовый бал по общеобразовательным предметам (физика, химия) выпускников 11 классов муниципальных образовательных организаций ХИМИЯ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средний тестовый бал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47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125,5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2.7.10.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Средний тестовый бал по общеобразовательным предметам (физика, химия) выпускников 11 классов муниципальных образовательных организаций ФИЗИКА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средний тестовый бал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42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2.8. Обеспечение государственных гарантий прав граждан на получение общедоступного и бесплатного общего образования в муниципальных общеобразовательных организациях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2.8.11.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Соотношение уровня средней заработной </w:t>
            </w: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платы педагогических работников, реализующих программы начального общего образования, основного общего и среднего общего образования  общеобразовательных организаций,  – 100% к прогнозному значению среднемесячного трудового дохода в Свердловской области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Не менее 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100,24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100,2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2.9. Обеспечение педагогическими кадрами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2.9.12.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Доля педагогических кадров </w:t>
            </w:r>
            <w:proofErr w:type="gramStart"/>
            <w:r w:rsidRPr="00AD04C6">
              <w:rPr>
                <w:rFonts w:ascii="Liberation Serif" w:hAnsi="Liberation Serif"/>
                <w:sz w:val="20"/>
                <w:szCs w:val="20"/>
              </w:rPr>
              <w:t>в</w:t>
            </w:r>
            <w:proofErr w:type="gramEnd"/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 w:rsidRPr="00AD04C6">
              <w:rPr>
                <w:rFonts w:ascii="Liberation Serif" w:hAnsi="Liberation Serif"/>
                <w:sz w:val="20"/>
                <w:szCs w:val="20"/>
              </w:rPr>
              <w:t>общеобразовательных</w:t>
            </w:r>
            <w:proofErr w:type="gramEnd"/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 организаций прошедших обучение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2.23.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2.23. Обеспечение выплаты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2.23.39.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3. Развитие системы дополнительного образования, отдыха и оздоровления детей в Пышминском муниципальном округе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3. Обеспечение доступности качественных образовательных услуг в сфере дополнительного образования в Пышминском муниципальном округе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3.10.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3.10. Развитие системы дополнительного образования детей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35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3.10.13.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83,6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90,8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108,6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3.10.14.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учреждений дополнительного образования, в которых созданы современные условия для предоставления услуги по дополнительному образованию детей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3.10.15.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Соотношение среднемесячной заработной платы педагогических работников муниципальных учреждений  дополнительного образования, - 100% к среднемесячной заработной плате учителей муниципальных образовательных организаций общего образования в муниципальном образовании 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100,62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100,6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38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3.10.36.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Доля детей в возрасте от 5 до 18 лет, </w:t>
            </w: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получающих дополнительное образование с использованием сертификата,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39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3.10.37.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Не менее 5%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40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3.10.52.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лиц, прошедших спортивную подготовку и зачисленных на следующий этап спортивной подготовки от общего количества обучающихся занимающихся физической культурой и спортом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22,70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3.10.53.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4. Создание условий для сохранения здоровья и развития детей в Пышминском муниципальном округе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4.11.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4.11. Совершенствование форм организации отдыха и оздоровления детей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44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4.11.16.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детей и подростков, получивших услуги по организации отдыха и оздоровления в санаторн</w:t>
            </w:r>
            <w:proofErr w:type="gramStart"/>
            <w:r w:rsidRPr="00AD04C6">
              <w:rPr>
                <w:rFonts w:ascii="Liberation Serif" w:hAnsi="Liberation Serif"/>
                <w:sz w:val="20"/>
                <w:szCs w:val="20"/>
              </w:rPr>
              <w:t>о-</w:t>
            </w:r>
            <w:proofErr w:type="gramEnd"/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 курортных учреждениях, загородных детских оздоровительных лагерях, от общей численности детей школьного возраста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45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4.11.50.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Обеспечение отдыха отдельных категорий детей, проживающих на территории Свердловской области, в организациях отдыха детей и их оздоровления, расположенных на побережье Черного моря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4. Патриотическое воспитание граждан в Пышминском муниципальном округе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5. Развитие системы патриотического воспитания граждан Пышминского муниципального округа,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толерантности, поддержка казачества на территории Пышминского муниципального округа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5.12.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5.12. Развитие инфраструктуры муниципальных образовательных организаций для организации патриотического воспитания граждан в Пышминском муниципальном округе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49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5.12.17.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Доля муниципальных образовательных </w:t>
            </w: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организаций, улучшивших учебно-материальные условия организации патриотического воспитания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50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5.13.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5.13. Модернизация содержания и форм патриотического воспитания как условие вовлечения широких масс граждан в Пышминском муниципальном округе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5.13.18.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муниципальных образовательных организаций, реализующих инновационные программы патриотической направленности и участвующих в конкурсах на получение грантов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5. Укрепление и развитие материально-технической базы образовательных организаций Пышминского муниципального округа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6. Приведение материально-технической базы образовательных организаций Пышминского муниципального округа в соответствие с современными требованиями к условиям реализации государственных образовательных стандартов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6.14.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6.14. Организация создания материально – технических условий для обеспечения деятельности муниципальных образовательных организаций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55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6.14.19.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зданий муниципальных образовательных организаций, требующих капитального ремонта, приведения в соответствие с требованиями пожарной безопасности и санитарного законодательства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56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6.14.20.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AD04C6">
              <w:rPr>
                <w:rFonts w:ascii="Liberation Serif" w:hAnsi="Liberation Serif"/>
                <w:sz w:val="20"/>
                <w:szCs w:val="20"/>
              </w:rPr>
              <w:t>Доля муниципальных общеобразовательных организаций, в которых проведены мероприятия, направленные на устранение нарушений, выявленных органами государственного надзора в результате проверок в муниципальных общеобразовательных организациях, в текущем году, от общего количества муниципальных общеобразовательных организаций, в которых запланированы мероприятия, направленные на устранение нарушений, выявленных органами государственного надзора в результате проверок в муниципальных  общеобразовательных организациях.</w:t>
            </w:r>
            <w:proofErr w:type="gramEnd"/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6.15.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6.15. Обеспечение муниципальных образовательных организаций автобусами для подвоза обучающихся в целях обеспечения образовательного процесса в соответствии с требованиями безопасности перевозок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58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6.15.21.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Доля обучающихся (воспитанников), </w:t>
            </w: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обеспеченных услугой подвоза в муниципальные общеобразовательные учреждения, от общего количества обучающихся, нуждающихся в услуге подвоза в муниципальные общеобразовательные учреждения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6.16.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6.16. Обеспечение мероприятий по оборудованию спортивных площадок в общеобразовательных организациях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60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6.16.22.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Количество спортивных площадок, оборудованных в общеобразовательных организациях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6.16.23.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Количество общеобразовательных организаций, в которых обеспечено оборудование спортивных площадок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62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6.16.24.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Количество обучающихся общеобразовательных организаций, которым предоставлена возможность использования оборудованной  спортивной площадки для сдачи нормативов Всероссийского физкультурно-спортивного комплекса "Готов к труду и обороне!"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Человек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2126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6.17.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6.17. Создание в общеобразовательных организациях, расположенных в сельской местности, условий для занятия физической культурой и спортом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64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6.17.25.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Количество муниципальных общеобразовательных организаций, расположенных в сельской местности, в которых отремонтированы спортивные залы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6.17.51.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В общеобразовательных организациях обновлена материально-техническая база для занятий детей физической культурой и спортом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6.18.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6.18. Создание в общеобразовательных организациях условий для успешной социализации детей с ограниченными возможностями здоровья и детей-инвалидов, а также детей-сирот и детей, оставшихся без попечения родителей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6.18.26.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общеобразовательных организаций, имеющих медицинские кабинеты, оснащенные необходимым медицинским оборудованием и прошедших лицензирование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68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6.18.27.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Доля детей-инвалидов, получающих общее образование на дому в дистанционной </w:t>
            </w: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форме, от общей численности детей-инвалидов, которым не противопоказано </w:t>
            </w:r>
            <w:proofErr w:type="gramStart"/>
            <w:r w:rsidRPr="00AD04C6">
              <w:rPr>
                <w:rFonts w:ascii="Liberation Serif" w:hAnsi="Liberation Serif"/>
                <w:sz w:val="20"/>
                <w:szCs w:val="20"/>
              </w:rPr>
              <w:t>обучение по</w:t>
            </w:r>
            <w:proofErr w:type="gramEnd"/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 дистанционным технологиям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6. "Реализация комплексной программы Уральская инженерная школа"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Цель 7. "Развитие материально технических, учебно-методических условий реализации муниципальными образовательными организациями образовательных программ </w:t>
            </w:r>
            <w:proofErr w:type="gramStart"/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естественно-научного</w:t>
            </w:r>
            <w:proofErr w:type="gramEnd"/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цикла и </w:t>
            </w:r>
            <w:proofErr w:type="spellStart"/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профориентационной</w:t>
            </w:r>
            <w:proofErr w:type="spellEnd"/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работы"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7.19.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7.19. Модернизация материально технических, учебно-методических условий реализации муниципальных общеобразовательных организации, осуществляющих реализацию программ </w:t>
            </w:r>
            <w:proofErr w:type="gramStart"/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естественно-научного</w:t>
            </w:r>
            <w:proofErr w:type="gramEnd"/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цикла"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72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7.19.28.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Количество созданных (модернизированных) кабинетов естественно – научного цикла (нарастающим итогом)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73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7.19.29.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 (нарастающим итогом к 2018 году)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 w:rsidP="000544B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7. «Обеспечение реализации муниципальной программы Пышминского муниципального округа «Развитие системы образования в Пышминском </w:t>
            </w:r>
            <w:r w:rsidR="000544B2"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муниципальном</w:t>
            </w: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округе до 2028 года»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8. Обеспечение мероприятий и поддержка в сфере образования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8.20.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8.20. Организация обеспечения муниципальных образовательных учреждений учебниками, вошедшими в федеральные перечни учебников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8.20.30.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общеобразовательных организаций, обеспеченных учебниками, вошедшими в федеральные перечни учебников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8.21.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8.21. Создание материально-технических условий для обеспечения деятельности муниципальных образовательных организаций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8.21.31.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реализованных мероприятий по обеспечению деятельности муниципальных образовательных организаций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8.22.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8.22. Обеспечение исполнения полномочий муниципального казенного учреждения Пышминского муниципального округа "Управление образования"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8.22.32.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аттестованных директоров образовательных организаций от числа директоров образовательных организаций подлежащих аттестации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82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8.22.33.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Организация проведения муниципальных мероприятий в сфере образования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83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8.22.34.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количество муниципальных образовательных организаций, подведомственных Управлению образования Администрации Пышминского муниципального округа, в которых проведены контрольные мероприятия ведомственного финансового контроля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84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8.22.35.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количество мероприятий с участием директоров общеобразовательных организаций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 w:rsidP="000544B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8. Молодежь Пышминского </w:t>
            </w:r>
            <w:r w:rsidR="000544B2"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муниципального</w:t>
            </w: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округа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9. Создание условий для успешной интеграции молодежи в общество, эффективно самореализации молодежи, направленной на раскрытие ее потенциала для дальнейшего развития Пышминского муниципального округа, Свердловской области и Российской Федерации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9.24.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9.24. "Развитие и поддержка созидательной активности, вовлечение молодежи в общественн</w:t>
            </w:r>
            <w:proofErr w:type="gramStart"/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о-</w:t>
            </w:r>
            <w:proofErr w:type="gramEnd"/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политическую жизнь, формирование культуры здорового образа жизни в молодежной среде"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88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9.24.40.-.0.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89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9.24.41.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90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9.24.42.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Количество действующих молодежных представительных органов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9.25.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9.25. "Развитие организационно-содержательного и материально-технического обеспечения учреждений по работе с молодежью"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92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9.25.43.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Количество созданных элементов инфраструктуры молодежной политики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9.25.44.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Количество действующих молодежных </w:t>
            </w:r>
            <w:proofErr w:type="spellStart"/>
            <w:r w:rsidRPr="00AD04C6">
              <w:rPr>
                <w:rFonts w:ascii="Liberation Serif" w:hAnsi="Liberation Serif"/>
                <w:sz w:val="20"/>
                <w:szCs w:val="20"/>
              </w:rPr>
              <w:t>коворкин</w:t>
            </w:r>
            <w:proofErr w:type="gramStart"/>
            <w:r w:rsidRPr="00AD04C6">
              <w:rPr>
                <w:rFonts w:ascii="Liberation Serif" w:hAnsi="Liberation Serif"/>
                <w:sz w:val="20"/>
                <w:szCs w:val="20"/>
              </w:rPr>
              <w:t>г</w:t>
            </w:r>
            <w:proofErr w:type="spellEnd"/>
            <w:r w:rsidRPr="00AD04C6">
              <w:rPr>
                <w:rFonts w:ascii="Liberation Serif" w:hAnsi="Liberation Serif"/>
                <w:sz w:val="20"/>
                <w:szCs w:val="20"/>
              </w:rPr>
              <w:t>-</w:t>
            </w:r>
            <w:proofErr w:type="gramEnd"/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 центров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9. "Строительство зданий муниципальных образовательных организаций"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Цель 10. "Создание в Пышминском муниципальном округе новых мест в общеобразовательных организациях в соответствии с прогнозируемой потребностью и современными требованиями к условиям обучения"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10.26.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Задача 10.26. Строительство начальной школы на 400 мест МБОУ ПГО "Пышминская средняя общеобразовательная школа" по адресу: Свердловская обл., </w:t>
            </w:r>
            <w:proofErr w:type="spellStart"/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пгт</w:t>
            </w:r>
            <w:proofErr w:type="spellEnd"/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. Пышма, ул. Куйбышева,39;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10.26.45.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Число созданных мест в муниципальных дневных общеобразовательных </w:t>
            </w: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организациях, расположенных на территории Пышминского муниципального округа, в том числе число мест, созданных путем строительства новых зданий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893592" w:rsidRPr="00AD04C6" w:rsidTr="00893592">
        <w:tc>
          <w:tcPr>
            <w:tcW w:w="90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1020" w:type="dxa"/>
            <w:shd w:val="clear" w:color="000000" w:fill="FFFFFF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10.27.</w:t>
            </w:r>
          </w:p>
        </w:tc>
        <w:tc>
          <w:tcPr>
            <w:tcW w:w="13047" w:type="dxa"/>
            <w:gridSpan w:val="6"/>
            <w:shd w:val="clear" w:color="000000" w:fill="FFFFFF"/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color w:val="000000"/>
                <w:sz w:val="20"/>
                <w:szCs w:val="20"/>
              </w:rPr>
              <w:t>Задача 10.27. "Осуществление вложений инвестиций в объекты общественной инфраструктуры муниципального значения, обеспечивающие решение вопросов местного значения в сфере образования"</w:t>
            </w:r>
          </w:p>
        </w:tc>
      </w:tr>
      <w:tr w:rsidR="00893592" w:rsidRPr="00AD04C6" w:rsidTr="00893592">
        <w:tc>
          <w:tcPr>
            <w:tcW w:w="90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99</w:t>
            </w:r>
          </w:p>
        </w:tc>
        <w:tc>
          <w:tcPr>
            <w:tcW w:w="1020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10.27.46.</w:t>
            </w:r>
          </w:p>
        </w:tc>
        <w:tc>
          <w:tcPr>
            <w:tcW w:w="3882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 xml:space="preserve">Удельный вес численности </w:t>
            </w:r>
            <w:proofErr w:type="gramStart"/>
            <w:r w:rsidRPr="00AD04C6">
              <w:rPr>
                <w:rFonts w:ascii="Liberation Serif" w:hAnsi="Liberation Serif"/>
                <w:sz w:val="20"/>
                <w:szCs w:val="20"/>
              </w:rPr>
              <w:t>обучающихся</w:t>
            </w:r>
            <w:proofErr w:type="gramEnd"/>
            <w:r w:rsidRPr="00AD04C6">
              <w:rPr>
                <w:rFonts w:ascii="Liberation Serif" w:hAnsi="Liberation Serif"/>
                <w:sz w:val="20"/>
                <w:szCs w:val="20"/>
              </w:rPr>
              <w:t>, занимающихся в одну смену, в общей численности обучающихся</w:t>
            </w:r>
          </w:p>
        </w:tc>
        <w:tc>
          <w:tcPr>
            <w:tcW w:w="140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Процент</w:t>
            </w:r>
          </w:p>
        </w:tc>
        <w:tc>
          <w:tcPr>
            <w:tcW w:w="212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100</w:t>
            </w:r>
          </w:p>
        </w:tc>
        <w:tc>
          <w:tcPr>
            <w:tcW w:w="21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  <w:tc>
          <w:tcPr>
            <w:tcW w:w="1661" w:type="dxa"/>
            <w:shd w:val="clear" w:color="auto" w:fill="auto"/>
            <w:hideMark/>
          </w:tcPr>
          <w:p w:rsidR="00893592" w:rsidRPr="00AD04C6" w:rsidRDefault="00893592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821" w:type="dxa"/>
            <w:shd w:val="clear" w:color="auto" w:fill="auto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  <w:r w:rsidRPr="00AD04C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893592" w:rsidRPr="00AD04C6" w:rsidRDefault="00893592" w:rsidP="00893592">
      <w:pPr>
        <w:spacing w:after="0" w:line="240" w:lineRule="auto"/>
        <w:rPr>
          <w:rFonts w:ascii="Liberation Serif" w:hAnsi="Liberation Serif"/>
        </w:rPr>
      </w:pPr>
    </w:p>
    <w:tbl>
      <w:tblPr>
        <w:tblW w:w="14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020"/>
        <w:gridCol w:w="3880"/>
        <w:gridCol w:w="1400"/>
        <w:gridCol w:w="2120"/>
        <w:gridCol w:w="2160"/>
        <w:gridCol w:w="1660"/>
        <w:gridCol w:w="1820"/>
      </w:tblGrid>
      <w:tr w:rsidR="00893592" w:rsidRPr="00AD04C6" w:rsidTr="00893592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893592" w:rsidRPr="00AD04C6" w:rsidTr="0089359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893592" w:rsidRPr="00AD04C6" w:rsidTr="00893592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2"/>
              </w:rPr>
            </w:pPr>
            <w:r w:rsidRPr="00AD04C6">
              <w:rPr>
                <w:rFonts w:ascii="Liberation Serif" w:hAnsi="Liberation Serif"/>
                <w:sz w:val="22"/>
              </w:rPr>
              <w:t>Ответственный исполнитель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 w:rsidP="005C1B64">
            <w:pPr>
              <w:rPr>
                <w:rFonts w:ascii="Liberation Serif" w:hAnsi="Liberation Serif"/>
                <w:sz w:val="22"/>
              </w:rPr>
            </w:pPr>
            <w:r w:rsidRPr="00AD04C6">
              <w:rPr>
                <w:rFonts w:ascii="Liberation Serif" w:hAnsi="Liberation Serif"/>
                <w:sz w:val="22"/>
              </w:rPr>
              <w:t>_______________ /</w:t>
            </w:r>
            <w:r w:rsidR="005C1B64" w:rsidRPr="00AD04C6">
              <w:rPr>
                <w:rFonts w:ascii="Liberation Serif" w:hAnsi="Liberation Serif"/>
                <w:sz w:val="22"/>
                <w:u w:val="single"/>
              </w:rPr>
              <w:t>Белоногова М.Ю.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893592" w:rsidRPr="00AD04C6" w:rsidTr="00893592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/>
                <w:sz w:val="18"/>
                <w:szCs w:val="18"/>
              </w:rPr>
            </w:pPr>
            <w:r w:rsidRPr="00AD04C6">
              <w:rPr>
                <w:rFonts w:ascii="Liberation Serif" w:hAnsi="Liberation Serif"/>
                <w:sz w:val="18"/>
                <w:szCs w:val="18"/>
              </w:rPr>
              <w:t xml:space="preserve">             (подпись)                             (расшифровка подписи)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3592" w:rsidRPr="00AD04C6" w:rsidRDefault="00893592">
            <w:pPr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bookmarkEnd w:id="0"/>
    </w:tbl>
    <w:p w:rsidR="00893592" w:rsidRPr="00AD04C6" w:rsidRDefault="00893592" w:rsidP="00893592">
      <w:pPr>
        <w:spacing w:after="0" w:line="240" w:lineRule="auto"/>
        <w:rPr>
          <w:rFonts w:ascii="Liberation Serif" w:hAnsi="Liberation Serif"/>
        </w:rPr>
      </w:pPr>
    </w:p>
    <w:sectPr w:rsidR="00893592" w:rsidRPr="00AD04C6" w:rsidSect="00893592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92"/>
    <w:rsid w:val="000544B2"/>
    <w:rsid w:val="00280BE3"/>
    <w:rsid w:val="005C1B64"/>
    <w:rsid w:val="00893592"/>
    <w:rsid w:val="00A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2026-01-26T04:53:00Z</dcterms:created>
  <dcterms:modified xsi:type="dcterms:W3CDTF">2026-01-26T05:27:00Z</dcterms:modified>
</cp:coreProperties>
</file>