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8" w:type="dxa"/>
        <w:tblInd w:w="93" w:type="dxa"/>
        <w:tblLook w:val="04A0" w:firstRow="1" w:lastRow="0" w:firstColumn="1" w:lastColumn="0" w:noHBand="0" w:noVBand="1"/>
      </w:tblPr>
      <w:tblGrid>
        <w:gridCol w:w="14977"/>
      </w:tblGrid>
      <w:tr w:rsidR="004413E1" w:rsidRPr="00FA0697" w:rsidTr="004413E1">
        <w:trPr>
          <w:trHeight w:val="510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 w:rsidRPr="00FA0697">
              <w:rPr>
                <w:rFonts w:ascii="Liberation Serif" w:hAnsi="Liberation Serif"/>
                <w:sz w:val="24"/>
                <w:szCs w:val="24"/>
              </w:rPr>
              <w:t>Форма 2</w:t>
            </w:r>
          </w:p>
        </w:tc>
      </w:tr>
      <w:tr w:rsidR="004413E1" w:rsidRPr="00FA0697" w:rsidTr="004413E1">
        <w:trPr>
          <w:trHeight w:val="375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Выполнение мероприятий муниципальной программы</w:t>
            </w:r>
          </w:p>
        </w:tc>
      </w:tr>
      <w:tr w:rsidR="004413E1" w:rsidRPr="00FA0697" w:rsidTr="004413E1">
        <w:trPr>
          <w:trHeight w:val="803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«Развитие системы образования в Пышминском муниципальном округе до 2028 года»</w:t>
            </w:r>
          </w:p>
        </w:tc>
      </w:tr>
      <w:tr w:rsidR="004413E1" w:rsidRPr="00FA0697" w:rsidTr="004413E1">
        <w:trPr>
          <w:trHeight w:val="540"/>
        </w:trPr>
        <w:tc>
          <w:tcPr>
            <w:tcW w:w="18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3E1" w:rsidRPr="00FA0697" w:rsidRDefault="004413E1" w:rsidP="001A054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за 2025  г. </w:t>
            </w:r>
          </w:p>
        </w:tc>
      </w:tr>
    </w:tbl>
    <w:p w:rsidR="00464613" w:rsidRPr="00FA0697" w:rsidRDefault="00464613" w:rsidP="004413E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960"/>
        <w:gridCol w:w="1926"/>
        <w:gridCol w:w="1298"/>
        <w:gridCol w:w="1317"/>
        <w:gridCol w:w="1425"/>
        <w:gridCol w:w="1555"/>
        <w:gridCol w:w="1663"/>
        <w:gridCol w:w="2012"/>
      </w:tblGrid>
      <w:tr w:rsidR="004413E1" w:rsidRPr="00FA0697" w:rsidTr="004413E1">
        <w:tc>
          <w:tcPr>
            <w:tcW w:w="789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048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1954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Получатель бюджетных средств/ исполнитель мероприятия</w:t>
            </w:r>
          </w:p>
        </w:tc>
        <w:tc>
          <w:tcPr>
            <w:tcW w:w="4128" w:type="dxa"/>
            <w:gridSpan w:val="3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Объем расходов на выполнение мероприятия (тыс. рублей)</w:t>
            </w:r>
          </w:p>
        </w:tc>
        <w:tc>
          <w:tcPr>
            <w:tcW w:w="1478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Сумма заключенных контрактов (договоров) и иных принятых бюджетных обязательств, тыс. руб.</w:t>
            </w:r>
          </w:p>
        </w:tc>
        <w:tc>
          <w:tcPr>
            <w:tcW w:w="1524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Сумма, на которую не приняты бюджетные обязательства, тыс. руб.</w:t>
            </w:r>
          </w:p>
        </w:tc>
        <w:tc>
          <w:tcPr>
            <w:tcW w:w="2046" w:type="dxa"/>
            <w:vMerge w:val="restart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4413E1" w:rsidRPr="00FA0697" w:rsidTr="004413E1">
        <w:tc>
          <w:tcPr>
            <w:tcW w:w="789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048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Выполнение (процентов)</w:t>
            </w:r>
          </w:p>
        </w:tc>
        <w:tc>
          <w:tcPr>
            <w:tcW w:w="1478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413E1" w:rsidRPr="00FA0697" w:rsidRDefault="004413E1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9"/>
        <w:gridCol w:w="3048"/>
        <w:gridCol w:w="1954"/>
        <w:gridCol w:w="1343"/>
        <w:gridCol w:w="1363"/>
        <w:gridCol w:w="1422"/>
        <w:gridCol w:w="1478"/>
        <w:gridCol w:w="1524"/>
        <w:gridCol w:w="2046"/>
      </w:tblGrid>
      <w:tr w:rsidR="004413E1" w:rsidRPr="00FA0697" w:rsidTr="004413E1">
        <w:trPr>
          <w:tblHeader/>
        </w:trPr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1 035 703,71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1 008 587,61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97,38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534 906,08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518 063,44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96,85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443 420,36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435 947,72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98,31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27 114,57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24 313,75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89,67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1 035 703,71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1 008 587,61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97,38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534 906,08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518 063,44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96,85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443 420,36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435 947,72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98,31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27 114,57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24 313,75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89,67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1. Развитие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системы дошкольного образования в Пышминском муниципальном округе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261 224,63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259 833,96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99,47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  РАЗВИТИЕ СИСТЕМЫ ДОШКОЛЬНОГО ОБРАЗОВАНИЯ В ПЫШМИНСКОМ МУНИЦИПАЛЬНОМ ОКРУГЕ,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261 224,63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259 833,96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99,47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147 432,60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147 432,60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101 925,76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101 925,76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11 866,27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10 475,60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88,28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261 224,63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259 833,96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99,47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147 432,60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147 432,60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101 925,76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101 925,76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11 866,27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10 475,60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88,28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всего, из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147 276,60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147 276,60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147 276,60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147 276,60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1.2. Реализация проекта "Педагогические кадры" в том числе обучение педагогов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156,00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156,00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156,00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156,00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1.3. Организация предоставления дошкольного образования, создание условий для присмотра и ухода за детьми, содержания детей в муниципальных образовательных организациях,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113 717,03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112 326,36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98,78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101 850,76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101 850,76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11 866,27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10 475,60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88,28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Средства не израсходованы в связи с карантины (группы были закрыты по ОРВИ, ветрянка)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1.4. "Совершенствование работы с талантливыми детьми через конкурсы, фестивали"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 Развитие системы общего образования в Пышминском муниципальном округе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616 990,30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602 438,44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97,64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   РАЗВИТИЕ СИСТЕМЫ ОБЩЕГО ОБРАЗОВАНИЯ В ПЫШМИНСКОМ МУНИЦИПАЛЬНОМ ОКРУГЕ,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616 990,30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602 438,44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97,64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369 430,45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356 163,67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96,41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202 930,54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202 930,54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14 366,61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13 081,53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91,06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616 990,30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602 438,44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97,64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30 262,70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369 430,45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356 163,67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96,41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202 930,54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202 930,54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14 366,61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13 081,53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91,06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2.1. Обеспечение государственных гарантий прав граждан на получение общего образования в муниципальных общеобразовательных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организациях,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351 760,01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340 084,67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96,68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351 760,01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340 084,67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96,68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Выполнение целевых показателей 100% (дополнительные средства были излишне выделены Министерством образования)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Реализация проекта "Педагогические кадры", в том числе обучение педагогов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487,00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487,00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487,00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487,00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2.3. Организация предоставления общего образования и создание условий для содержания детей в муниципальных общеобразовательных организациях,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195 348,32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194 063,24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99,34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180 981,71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180 981,71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14 366,61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13 081,53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91,06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Средства не израсходованы в связи с карантины (группы были закрыты по ОРВИ, ветрянка)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2.4. "Совершенствование работы с талантливыми детьми через конкурсы, фестивали"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2.5. Организация питания в школьных столовых,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14 579,85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12 988,41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14 579,85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12 988,41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89,08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Дети были на кто на </w:t>
            </w:r>
            <w:proofErr w:type="gramStart"/>
            <w:r w:rsidRPr="00FA0697">
              <w:rPr>
                <w:rFonts w:ascii="Liberation Serif" w:hAnsi="Liberation Serif"/>
                <w:sz w:val="24"/>
                <w:szCs w:val="24"/>
              </w:rPr>
              <w:t>больничном</w:t>
            </w:r>
            <w:proofErr w:type="gramEnd"/>
            <w:r w:rsidRPr="00FA0697">
              <w:rPr>
                <w:rFonts w:ascii="Liberation Serif" w:hAnsi="Liberation Serif"/>
                <w:sz w:val="24"/>
                <w:szCs w:val="24"/>
              </w:rPr>
              <w:t>, кто лежал в больнице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2.7. Осуществление мероприятий на выплату денежной компенсации родителям (законным представителям) обучающихся с ограниченными возможностями здоровья, в том числе дете</w:t>
            </w:r>
            <w:proofErr w:type="gram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й-</w:t>
            </w:r>
            <w:proofErr w:type="gramEnd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инвалидов, в муниципальных образовательных организациях, осваивающих основные общеобразовательные программы на дому,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875,09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875,09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875,09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875,09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2.8.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20 322,90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20 322,90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20 322,90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20 322,90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2.9. </w:t>
            </w:r>
            <w:proofErr w:type="gram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6 655,80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6 655,80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6 655,80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6 655,80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2.10. Создание в муниципальных общеобразовательных организациях условий для организации горячего </w:t>
            </w:r>
            <w:proofErr w:type="gram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питания</w:t>
            </w:r>
            <w:proofErr w:type="gramEnd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обучающихся,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3 457,00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3 457,00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1 728,50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1 728,50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1 728,50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1 728,50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2.11.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Оснащение начальной школы на 400 мест,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18 718,00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18 718,00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61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18 718,00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18 718,00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8930DA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2.13.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2 547,20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2 547,20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2 547,20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2 547,20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2.14. Обеспечение выплат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расположенных на территории Свердловской области, на условиях софинансирования из федерального бюджета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736,80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736,80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736,80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736,80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2.15.  Услуги связи для широкополосного доступа муниципальных образовательных организаций к сети "Интернет"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1 417,39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1 417,39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1 417,39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1 417,39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2.16. Предоставление мер социальной поддержки по заключенным договорам работодателей с гражданами о целевом обучении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9,94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9,94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9,94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9,94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Развитие системы дополнительного образования, отдыха и оздоровления детей в Пышминском муниципальном округе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84 688,26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82 344,00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РАЗВИТИЕ СИСТЕМЫ ДОПОЛНИТЕЛЬНОГО ОБРАЗОВАНИЯ, ОТДЫХА И ОЗДОРОВЛЕНИЯ ДЕТЕЙ В ПЫШМИНСКОМ МУНИЦИПАЛЬНОМ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ОКРУГЕ,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84 688,26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82 344,00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12 738,30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12 733,87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99,97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71 068,27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68 853,51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96,88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881,69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756,62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85,81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84 688,26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82 344,00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97,23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12 738,30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12 733,87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99,97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71 068,27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68 853,51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96,88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881,69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756,62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85,81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3.1. Организация предоставления дополнительного образования детей в муниципальных организациях дополнительного образования,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51 731,71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51 731,71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51 731,71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51 731,71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3.1.-. 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социальной сфере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32 142,87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32 142,87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3.1.-. Субсидии бюджетным учреждениям на финансовое обеспечение государственного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19 588,84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19 588,84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32 142,87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32 142,87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19 588,84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19 588,84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3.1-1. Организация предоставления дополнительного образования детей в муниципальных организациях дополнительного образования (обеспечение деятельности для </w:t>
            </w:r>
            <w:proofErr w:type="spell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спортподготовки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),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6 713,05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6 713,05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6 713,05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6 713,05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3.1-2. Организация предоставления дополнительного образования детей в муниципальных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организациях дополнительного образования,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233,30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113,38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233,30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113,38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48,60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Учреждением много запланировано лимитов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3.2. Обеспечение организации отдыха детей в каникулярное время, включая мероприятия по обеспечению безопасности их жизни и здоровья, 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16 715,69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14 809,92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88,60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7 726,40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7 721,97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99,94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Невыполнение целевых показателей в связи с нехваткой путевок (Загородные лагеря заполнены и путевки выделяются не в полном объеме)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8 340,90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6 444,71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77,27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Невыполнение целевых показателей в связи с нехваткой путевок (Загородные лагеря заполнены и путевки </w:t>
            </w: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выделяются не в полном объеме)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648,39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643,24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99,21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 прошла оплата за путевку у родителя в 2025 году (средства поступили в начале 2026 года)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3.3. Организация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52,30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52,30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52,30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52,30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3.4. Обеспечение персонифицированного финансирования дополнительного образования детей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4 282,51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3 963,94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92,56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4 282,51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3 963,94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92,56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Сертификаты не выбраны у детей полностью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3.4.-. 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30,06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3.4.-.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30,05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3.4.-.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предоставляемые бюджетным учреждениям по результатам отбора исполнителей услуг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30,04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3.4.-.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30,05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3.4.-. 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4 162,31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3 963,94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95,23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4 162,31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3 963,94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95,23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Сертификаты не выбраны у детей полностью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30,04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 поступило ни одной заявки в течени</w:t>
            </w:r>
            <w:proofErr w:type="gramStart"/>
            <w:r w:rsidRPr="00FA069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30,05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 поступило ни одной заявки в течени</w:t>
            </w:r>
            <w:proofErr w:type="gramStart"/>
            <w:r w:rsidRPr="00FA069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30,05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 поступило ни одной заявки в течени</w:t>
            </w:r>
            <w:proofErr w:type="gramStart"/>
            <w:r w:rsidRPr="00FA069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30,06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Не поступило ни одной заявки в течени</w:t>
            </w:r>
            <w:proofErr w:type="gramStart"/>
            <w:r w:rsidRPr="00FA069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3.5. Расходы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0,10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0,10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3.6.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побережье Черного моря"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2 021,80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2 021,80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2 021,80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2 021,80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3.7. Обеспечение </w:t>
            </w:r>
            <w:proofErr w:type="gram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осуществления оплаты труда работников муниципальных организаций дополнительного образования</w:t>
            </w:r>
            <w:proofErr w:type="gramEnd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и муниципальных образовательных организаций высшего 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образования,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2 937,80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2 937,80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2 937,80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2 937,80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Патриотическое воспитание граждан в Пышминском муниципальном округе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ПАТРИОТИЧЕСКОЕ ВОСПИТАНИЕ ГРАЖДАН В ПЫШМИНСКОМ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МУНИЦИПАЛЬНОМ ОКРУГЕ,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4.2. Организация военно-патриотического воспитания и допризывной подготовки молодых граждан,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29,60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14,80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14,80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Укрепление и развитие материально-технической базы образовательных организаций Пышминского муниципального округа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45 105,31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36 358,45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80,61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УКРЕПЛЕНИЕ И РАЗВИТИЕ МАТЕРИАЛЬНО-ТЕХНИЧЕСКОЙ БАЗЫ ОБРАЗОВАТЕЛЬНЫХ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ОРГАНИЗАЦИЙ ПЫШМИНСКОГО МУНИЦИПАЛЬНОГО ОКРУГА,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45 105,31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36 358,45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80,61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3 571,43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41 533,88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36 358,45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87,54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45 105,31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36 358,45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80,61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3 571,43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41 533,88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36 358,45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87,54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5.1. Соблюдение мер на укрепление антитеррористической и </w:t>
            </w:r>
            <w:proofErr w:type="spellStart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противодеверсионной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защищенности учреждений,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649,04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649,04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649,04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649,04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5.7. Обеспечение мероприятий по капитальному ремонту спортивных залов, в том числе вспомогательных помещений при них, в муниципальных общеобразовательных организациях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7 959,42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3 571,43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4 387,99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5.7.-. проведение капитального и 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(или) текущего ремонта спортивных залов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4 387,99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06609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5.7.-. МБОУ П</w:t>
            </w:r>
            <w:r w:rsidR="00066091"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О </w:t>
            </w:r>
            <w:r w:rsidR="00066091"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 </w:t>
            </w: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"Трифоновская СОШ", всего, из них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3 571,43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3 571,43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Недобросовестный подрядчик. Расторжение контракта в одностороннем порядке 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4 387,99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Недобросовестный подрядчик. Расторжение контракта в одностороннем порядке 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5.7-1. Создание в общеобразовательных организациях, расположенных в сельской местности и малых городах, условий для занятия физической культурой и спортом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828,30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40,86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828,30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40,86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4,93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Приобретение оборудования отложено в связи с расторжением контракта. Ремонт </w:t>
            </w: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в спортивном зале не закончен.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5.9. 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Мероприятия,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направленные на устранение нарушений, выявленных органами государственного надзора в результате проверок в муниципальных  организациях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7 595,88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7 595,88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7 595,88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7 595,88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5.12.  Проведение ремонтных работ и приведение в соответствие с требованиями надзорных органов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28 072,67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28 072,67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28 072,67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28 072,67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"Реализация комплексной программы Уральская инженерная школа"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"РЕАЛИЗАЦИЯ КОМПЛЕКСНОЙ ПРОГРАММЫ УРАЛЬСКАЯ ИНЖЕНЕРНАЯ ШКОЛА", В ТОМ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6.4. Обеспечение поддержки и развития центров "Точка роста"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1 700,00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1 700,00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1A0544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7. «Обеспечение реализации муниципальной программы Пышминского муниципального округа «Развитие системы образования в Пышминском </w:t>
            </w:r>
            <w:r w:rsidR="001A0544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муниципальном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округе до 2028 года»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8930DA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«ОБЕСПЕЧЕНИЕ РЕАЛИЗАЦИИ МУНИЦИПАЛЬНОЙ ПРОГРАММЫ ПЫШМИНСКОГО МУНИЦИПАЛЬНОГО ОКРУГА «РАЗВИТИЕ СИСТЕМЫ ОБРАЗОВАНИЯ В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 xml:space="preserve">ПЫШМИНСКОМ 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МУНИЦИПАЛЬНОМ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ОКРУГЕ ДО 2028 ГОДА»,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7.1. Обеспечение реализации муниципальной программы,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25 858,61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25 776,16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99,68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Превышен лимит прямых договоров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8930DA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8. Молодежь 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Пышминского муниципального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 w:rsidP="008930DA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ПО ПОДПРОГРАММЕ  МОЛОДЕЖЬ ПЫШМИНСКОГО </w:t>
            </w:r>
            <w:r w:rsidR="008930DA"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МУНИЦИПАЛЬНОГО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ОКРУГА,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88,50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88,50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88,50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88,50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8.1. Общие </w:t>
            </w: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мероприятия молодёжной политики, всего, из них: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70,00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70,00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48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8.2. Организация и проведение мероприятий в сфере молодёжной политики</w:t>
            </w:r>
          </w:p>
        </w:tc>
        <w:tc>
          <w:tcPr>
            <w:tcW w:w="1954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363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22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000000" w:fill="FFFFFF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000000" w:fill="FFFFFF"/>
            <w:hideMark/>
          </w:tcPr>
          <w:p w:rsidR="004413E1" w:rsidRPr="00FA0697" w:rsidRDefault="004413E1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169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18,50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18,50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4413E1" w:rsidRPr="00FA0697" w:rsidTr="004413E1">
        <w:tc>
          <w:tcPr>
            <w:tcW w:w="789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3048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954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4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18,50</w:t>
            </w:r>
          </w:p>
        </w:tc>
        <w:tc>
          <w:tcPr>
            <w:tcW w:w="1363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18,50</w:t>
            </w:r>
          </w:p>
        </w:tc>
        <w:tc>
          <w:tcPr>
            <w:tcW w:w="1422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478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24" w:type="dxa"/>
            <w:shd w:val="clear" w:color="auto" w:fill="auto"/>
            <w:hideMark/>
          </w:tcPr>
          <w:p w:rsidR="004413E1" w:rsidRPr="00FA0697" w:rsidRDefault="004413E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2046" w:type="dxa"/>
            <w:shd w:val="clear" w:color="auto" w:fill="auto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4413E1" w:rsidRPr="00FA0697" w:rsidRDefault="004413E1" w:rsidP="004413E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00"/>
        <w:gridCol w:w="2680"/>
        <w:gridCol w:w="2120"/>
        <w:gridCol w:w="2160"/>
        <w:gridCol w:w="1660"/>
        <w:gridCol w:w="1660"/>
        <w:gridCol w:w="1660"/>
        <w:gridCol w:w="2420"/>
      </w:tblGrid>
      <w:tr w:rsidR="004413E1" w:rsidRPr="00FA0697" w:rsidTr="004413E1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 w:rsidP="0006609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_______________ /_</w:t>
            </w:r>
            <w:r w:rsidR="00066091" w:rsidRPr="00FA0697">
              <w:rPr>
                <w:rFonts w:ascii="Liberation Serif" w:hAnsi="Liberation Serif"/>
                <w:sz w:val="24"/>
                <w:szCs w:val="24"/>
                <w:u w:val="single"/>
              </w:rPr>
              <w:t>Белоногова М.Ю.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 w:rsidP="0006609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            (подпись)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Руководитель финансового органа                                                                                                    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 w:rsidP="0006609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>_______________ /_</w:t>
            </w:r>
            <w:r w:rsidR="00066091" w:rsidRPr="00FA0697">
              <w:rPr>
                <w:rFonts w:ascii="Liberation Serif" w:hAnsi="Liberation Serif"/>
                <w:sz w:val="24"/>
                <w:szCs w:val="24"/>
                <w:u w:val="single"/>
              </w:rPr>
              <w:t>Рахимова Л.Г.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3E1" w:rsidRPr="00FA0697" w:rsidTr="004413E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 w:rsidP="00066091">
            <w:pPr>
              <w:rPr>
                <w:rFonts w:ascii="Liberation Serif" w:hAnsi="Liberation Serif"/>
                <w:sz w:val="24"/>
                <w:szCs w:val="24"/>
              </w:rPr>
            </w:pPr>
            <w:r w:rsidRPr="00FA0697">
              <w:rPr>
                <w:rFonts w:ascii="Liberation Serif" w:hAnsi="Liberation Serif"/>
                <w:sz w:val="24"/>
                <w:szCs w:val="24"/>
              </w:rPr>
              <w:t xml:space="preserve">             (подпись)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13E1" w:rsidRPr="00FA0697" w:rsidRDefault="004413E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bookmarkEnd w:id="0"/>
    </w:tbl>
    <w:p w:rsidR="004413E1" w:rsidRPr="00FA0697" w:rsidRDefault="004413E1" w:rsidP="004413E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413E1" w:rsidRPr="00FA0697" w:rsidSect="004413E1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1"/>
    <w:rsid w:val="00066091"/>
    <w:rsid w:val="001A0544"/>
    <w:rsid w:val="004413E1"/>
    <w:rsid w:val="00464613"/>
    <w:rsid w:val="004B245F"/>
    <w:rsid w:val="008930DA"/>
    <w:rsid w:val="00F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3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3E1"/>
    <w:rPr>
      <w:color w:val="800080"/>
      <w:u w:val="single"/>
    </w:rPr>
  </w:style>
  <w:style w:type="paragraph" w:customStyle="1" w:styleId="xl124">
    <w:name w:val="xl124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441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3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3E1"/>
    <w:rPr>
      <w:color w:val="800080"/>
      <w:u w:val="single"/>
    </w:rPr>
  </w:style>
  <w:style w:type="paragraph" w:customStyle="1" w:styleId="xl124">
    <w:name w:val="xl124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4413E1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441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41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41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8A35-71DD-4A4D-965B-CCE68281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2026-01-26T05:01:00Z</dcterms:created>
  <dcterms:modified xsi:type="dcterms:W3CDTF">2026-01-26T05:28:00Z</dcterms:modified>
</cp:coreProperties>
</file>